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96" w:rsidRDefault="00333796" w:rsidP="00333796">
      <w:pPr>
        <w:widowControl/>
        <w:spacing w:after="150"/>
        <w:rPr>
          <w:rFonts w:ascii="宋体" w:eastAsia="宋体" w:hAnsi="宋体" w:cs="宋体"/>
          <w:b/>
          <w:bCs/>
          <w:kern w:val="0"/>
          <w:sz w:val="32"/>
          <w:szCs w:val="32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附件2</w:t>
      </w:r>
    </w:p>
    <w:p w:rsidR="00880436" w:rsidRDefault="00880436" w:rsidP="00333796">
      <w:pPr>
        <w:widowControl/>
        <w:spacing w:after="150"/>
        <w:jc w:val="center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</w:pPr>
      <w:r w:rsidRPr="00880436"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港口</w:t>
      </w:r>
      <w:r w:rsidRPr="00880436">
        <w:rPr>
          <w:rFonts w:ascii="宋体" w:eastAsia="宋体" w:hAnsi="宋体" w:cs="宋体"/>
          <w:b/>
          <w:bCs/>
          <w:kern w:val="0"/>
          <w:sz w:val="32"/>
          <w:szCs w:val="32"/>
          <w:shd w:val="clear" w:color="auto" w:fill="FFFFFF" w:themeFill="background1"/>
        </w:rPr>
        <w:t>口岸收费标准表</w:t>
      </w:r>
    </w:p>
    <w:p w:rsidR="000B72F5" w:rsidRDefault="000B72F5" w:rsidP="000B72F5">
      <w:pPr>
        <w:widowControl/>
        <w:spacing w:after="150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表1</w:t>
      </w:r>
    </w:p>
    <w:p w:rsidR="000B72F5" w:rsidRDefault="000B72F5" w:rsidP="000B72F5">
      <w:pPr>
        <w:widowControl/>
        <w:spacing w:after="150"/>
        <w:jc w:val="center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外贸货物</w:t>
      </w:r>
      <w:r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  <w:t>港务费费率表</w:t>
      </w:r>
    </w:p>
    <w:tbl>
      <w:tblPr>
        <w:tblpPr w:leftFromText="180" w:rightFromText="180" w:vertAnchor="page" w:horzAnchor="margin" w:tblpY="4009"/>
        <w:tblW w:w="87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710"/>
        <w:gridCol w:w="3330"/>
        <w:gridCol w:w="1905"/>
        <w:gridCol w:w="949"/>
        <w:gridCol w:w="874"/>
      </w:tblGrid>
      <w:tr w:rsidR="00333796" w:rsidRPr="009B63BA" w:rsidTr="00333796">
        <w:trPr>
          <w:trHeight w:val="437"/>
        </w:trPr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分类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编号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货物及集装箱名称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计费单位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费率（元）</w:t>
            </w:r>
          </w:p>
        </w:tc>
      </w:tr>
      <w:tr w:rsidR="00333796" w:rsidRPr="009B63BA" w:rsidTr="00333796">
        <w:trPr>
          <w:trHeight w:val="3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进口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出口</w:t>
            </w:r>
          </w:p>
        </w:tc>
      </w:tr>
      <w:tr w:rsidR="00333796" w:rsidRPr="009B63BA" w:rsidTr="00333796">
        <w:trPr>
          <w:trHeight w:val="314"/>
        </w:trPr>
        <w:tc>
          <w:tcPr>
            <w:tcW w:w="9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货物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煤炭、矿石、矿砂、矿粉、磷灰土、水泥、纯碱、粮食、盐、砂土、石料、砖瓦、生铁、钢材（不包括废钢）、钢管、钢坯、钢锭、有色金属块锭、焦炭、半焦、块煤、化肥、轻泡货物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重量吨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1.20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0.60</w:t>
            </w:r>
          </w:p>
        </w:tc>
      </w:tr>
      <w:tr w:rsidR="00333796" w:rsidRPr="009B63BA" w:rsidTr="00333796">
        <w:trPr>
          <w:trHeight w:val="139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体积吨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0.70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0.35</w:t>
            </w:r>
          </w:p>
        </w:tc>
      </w:tr>
      <w:tr w:rsidR="00333796" w:rsidRPr="009B63BA" w:rsidTr="00333796">
        <w:trPr>
          <w:trHeight w:val="63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一级危险货物、冷藏货物、古画、古玩、金器、银器、珠宝、玉器、翡翠、珊瑚、玛瑙、水晶、钻石、玉刻、木刻、各种雕塑制品、贝雕制品、漆制器皿、古瓷、景泰蓝、地毯、壁毯、刺绣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重量吨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5.60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2.80</w:t>
            </w:r>
          </w:p>
        </w:tc>
      </w:tr>
      <w:tr w:rsidR="00333796" w:rsidRPr="009B63BA" w:rsidTr="00333796">
        <w:trPr>
          <w:trHeight w:val="154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体积吨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3.70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1.85</w:t>
            </w:r>
          </w:p>
        </w:tc>
      </w:tr>
      <w:tr w:rsidR="00333796" w:rsidRPr="009B63BA" w:rsidTr="00333796">
        <w:trPr>
          <w:trHeight w:val="36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其他货物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重量吨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2.80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1.40</w:t>
            </w:r>
          </w:p>
        </w:tc>
      </w:tr>
      <w:tr w:rsidR="00333796" w:rsidRPr="009B63BA" w:rsidTr="00333796">
        <w:trPr>
          <w:trHeight w:val="36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体积吨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1.80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0.90</w:t>
            </w:r>
          </w:p>
        </w:tc>
      </w:tr>
      <w:tr w:rsidR="00333796" w:rsidRPr="009B63BA" w:rsidTr="00333796">
        <w:trPr>
          <w:trHeight w:val="393"/>
        </w:trPr>
        <w:tc>
          <w:tcPr>
            <w:tcW w:w="9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集装箱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装载一般货物的集装箱、商品箱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箱（</w:t>
            </w: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20</w:t>
            </w: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英尺）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34.00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17.00</w:t>
            </w:r>
          </w:p>
        </w:tc>
      </w:tr>
      <w:tr w:rsidR="00333796" w:rsidRPr="009B63BA" w:rsidTr="00333796">
        <w:trPr>
          <w:trHeight w:val="5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箱（</w:t>
            </w: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40</w:t>
            </w: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英尺）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68.00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34.00</w:t>
            </w:r>
          </w:p>
        </w:tc>
      </w:tr>
      <w:tr w:rsidR="00333796" w:rsidRPr="009B63BA" w:rsidTr="00333796"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装载一级危险货物的集装箱、冷藏箱（重箱）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箱（</w:t>
            </w: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20</w:t>
            </w: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英尺）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68.00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34.00</w:t>
            </w:r>
          </w:p>
        </w:tc>
      </w:tr>
      <w:tr w:rsidR="00333796" w:rsidRPr="009B63BA" w:rsidTr="00333796">
        <w:trPr>
          <w:trHeight w:val="21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箱（</w:t>
            </w: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40</w:t>
            </w:r>
            <w:r w:rsidRPr="000B72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英尺）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136.00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33796" w:rsidRPr="000B72F5" w:rsidRDefault="00333796" w:rsidP="00333796">
            <w:pPr>
              <w:widowControl/>
              <w:spacing w:after="150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bCs/>
                <w:kern w:val="0"/>
                <w:sz w:val="24"/>
                <w:szCs w:val="24"/>
                <w:shd w:val="clear" w:color="auto" w:fill="FFFFFF" w:themeFill="background1"/>
              </w:rPr>
              <w:t>68.00</w:t>
            </w:r>
          </w:p>
        </w:tc>
      </w:tr>
    </w:tbl>
    <w:p w:rsidR="000B72F5" w:rsidRPr="000B72F5" w:rsidRDefault="000B72F5" w:rsidP="000B72F5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  <w:r w:rsidRPr="000B72F5">
        <w:rPr>
          <w:rFonts w:ascii="仿宋" w:eastAsia="仿宋" w:hAnsi="仿宋" w:cs="宋体" w:hint="eastAsia"/>
          <w:bCs/>
          <w:kern w:val="0"/>
          <w:szCs w:val="21"/>
          <w:shd w:val="clear" w:color="auto" w:fill="FFFFFF" w:themeFill="background1"/>
        </w:rPr>
        <w:t>注：1.“轻泡货物”是指每1重吨的体积满4立方米的货物，但每件货物重量满5吨的按重量吨计费。</w:t>
      </w:r>
    </w:p>
    <w:p w:rsidR="000B72F5" w:rsidRPr="000B72F5" w:rsidRDefault="000B72F5" w:rsidP="000B72F5">
      <w:pPr>
        <w:widowControl/>
        <w:ind w:firstLineChars="400" w:firstLine="84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  <w:r w:rsidRPr="000B72F5">
        <w:rPr>
          <w:rFonts w:ascii="仿宋" w:eastAsia="仿宋" w:hAnsi="仿宋" w:cs="宋体" w:hint="eastAsia"/>
          <w:bCs/>
          <w:kern w:val="0"/>
          <w:szCs w:val="21"/>
          <w:shd w:val="clear" w:color="auto" w:fill="FFFFFF" w:themeFill="background1"/>
        </w:rPr>
        <w:t>2.编号1中的“化肥”是指农业生产用的化肥，其它用于化工原料的不在此列。</w:t>
      </w:r>
    </w:p>
    <w:p w:rsidR="000B72F5" w:rsidRDefault="000B72F5" w:rsidP="000B72F5">
      <w:pPr>
        <w:widowControl/>
        <w:ind w:firstLineChars="400" w:firstLine="840"/>
        <w:jc w:val="left"/>
        <w:rPr>
          <w:rFonts w:ascii="仿宋" w:eastAsia="仿宋" w:hAnsi="仿宋" w:cs="宋体"/>
          <w:color w:val="000000"/>
          <w:spacing w:val="15"/>
          <w:kern w:val="0"/>
          <w:szCs w:val="21"/>
          <w:shd w:val="clear" w:color="auto" w:fill="FFFFFF" w:themeFill="background1"/>
        </w:rPr>
      </w:pPr>
      <w:r w:rsidRPr="000B72F5">
        <w:rPr>
          <w:rFonts w:ascii="仿宋" w:eastAsia="仿宋" w:hAnsi="仿宋" w:cs="宋体" w:hint="eastAsia"/>
          <w:bCs/>
          <w:kern w:val="0"/>
          <w:szCs w:val="21"/>
          <w:shd w:val="clear" w:color="auto" w:fill="FFFFFF" w:themeFill="background1"/>
        </w:rPr>
        <w:t>3.编号2中的“一级危险货物”包括《危险货物品名表》（GB12268）和《国际海运危险货物规则》（IMDG Code）危险货物一览表中的第1类、第2类、第7类、第5.2项和第6.2项的危险货物以</w:t>
      </w:r>
      <w:r w:rsidRPr="000B72F5">
        <w:rPr>
          <w:rFonts w:ascii="仿宋" w:eastAsia="仿宋" w:hAnsi="仿宋" w:cs="宋体" w:hint="eastAsia"/>
          <w:color w:val="000000"/>
          <w:spacing w:val="15"/>
          <w:kern w:val="0"/>
          <w:szCs w:val="21"/>
          <w:shd w:val="clear" w:color="auto" w:fill="FFFFFF" w:themeFill="background1"/>
        </w:rPr>
        <w:t>及第3类、第4类、第8类、第5.1项和第6.1项中包装类别Ⅰ和Ⅱ的危险货物，不包括农业生产用的化肥农药。</w:t>
      </w:r>
    </w:p>
    <w:p w:rsidR="000B72F5" w:rsidRDefault="000B72F5" w:rsidP="000B72F5">
      <w:pPr>
        <w:widowControl/>
        <w:ind w:firstLineChars="400" w:firstLine="84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  <w:r w:rsidRPr="000B72F5">
        <w:rPr>
          <w:rFonts w:ascii="仿宋" w:eastAsia="仿宋" w:hAnsi="仿宋" w:cs="宋体" w:hint="eastAsia"/>
          <w:bCs/>
          <w:kern w:val="0"/>
          <w:szCs w:val="21"/>
          <w:shd w:val="clear" w:color="auto" w:fill="FFFFFF" w:themeFill="background1"/>
        </w:rPr>
        <w:t>4.原油按编号3中的“其他货物”计费。</w:t>
      </w:r>
    </w:p>
    <w:p w:rsidR="000B72F5" w:rsidRDefault="000B72F5" w:rsidP="000B72F5">
      <w:pPr>
        <w:widowControl/>
        <w:ind w:firstLineChars="400" w:firstLine="84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  <w:r w:rsidRPr="000B72F5">
        <w:rPr>
          <w:rFonts w:ascii="仿宋" w:eastAsia="仿宋" w:hAnsi="仿宋" w:cs="宋体" w:hint="eastAsia"/>
          <w:bCs/>
          <w:kern w:val="0"/>
          <w:szCs w:val="21"/>
          <w:shd w:val="clear" w:color="auto" w:fill="FFFFFF" w:themeFill="background1"/>
        </w:rPr>
        <w:t>5.其它集装箱按其内容积与表列相近箱型集装箱内容积的比例计费。</w:t>
      </w:r>
    </w:p>
    <w:p w:rsidR="000B72F5" w:rsidRDefault="000B72F5" w:rsidP="000B72F5">
      <w:pPr>
        <w:widowControl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</w:p>
    <w:p w:rsidR="000B72F5" w:rsidRPr="000B72F5" w:rsidRDefault="000B72F5" w:rsidP="000B72F5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</w:pPr>
      <w:r w:rsidRPr="000B72F5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表2</w:t>
      </w:r>
    </w:p>
    <w:p w:rsidR="000B72F5" w:rsidRPr="000B72F5" w:rsidRDefault="000B72F5" w:rsidP="000B72F5">
      <w:pPr>
        <w:widowControl/>
        <w:spacing w:afterLines="100" w:after="312"/>
        <w:jc w:val="center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</w:pPr>
      <w:r w:rsidRPr="000B72F5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港口</w:t>
      </w:r>
      <w:r w:rsidRPr="000B72F5"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  <w:t>设施保安费费率表</w:t>
      </w:r>
    </w:p>
    <w:tbl>
      <w:tblPr>
        <w:tblW w:w="84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915"/>
        <w:gridCol w:w="2070"/>
        <w:gridCol w:w="1522"/>
      </w:tblGrid>
      <w:tr w:rsidR="000B72F5" w:rsidRPr="000B72F5" w:rsidTr="009B63BA">
        <w:trPr>
          <w:trHeight w:val="609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序号</w:t>
            </w:r>
          </w:p>
        </w:tc>
        <w:tc>
          <w:tcPr>
            <w:tcW w:w="3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分类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计费单位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费率（元）</w:t>
            </w:r>
          </w:p>
        </w:tc>
      </w:tr>
      <w:tr w:rsidR="000B72F5" w:rsidRPr="000B72F5" w:rsidTr="000B72F5">
        <w:trPr>
          <w:trHeight w:val="24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集装箱重箱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箱（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英尺）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8.00</w:t>
            </w:r>
          </w:p>
        </w:tc>
      </w:tr>
      <w:tr w:rsidR="000B72F5" w:rsidRPr="000B72F5" w:rsidTr="000B72F5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箱（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40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英尺）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12.00</w:t>
            </w:r>
          </w:p>
        </w:tc>
      </w:tr>
      <w:tr w:rsidR="000B72F5" w:rsidRPr="000B72F5" w:rsidTr="000B72F5">
        <w:trPr>
          <w:trHeight w:val="255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货物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重量吨或体积吨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0.20</w:t>
            </w:r>
          </w:p>
        </w:tc>
      </w:tr>
    </w:tbl>
    <w:p w:rsidR="000B72F5" w:rsidRPr="000B72F5" w:rsidRDefault="009B63BA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  <w:r>
        <w:rPr>
          <w:rFonts w:ascii="Calibri" w:eastAsia="仿宋" w:hAnsi="Calibri" w:cs="Calibri"/>
          <w:bCs/>
          <w:kern w:val="0"/>
          <w:szCs w:val="21"/>
          <w:shd w:val="clear" w:color="auto" w:fill="FFFFFF" w:themeFill="background1"/>
        </w:rPr>
        <w:t>   </w:t>
      </w:r>
      <w:r w:rsidR="000B72F5" w:rsidRPr="000B72F5">
        <w:rPr>
          <w:rFonts w:ascii="仿宋" w:eastAsia="仿宋" w:hAnsi="仿宋" w:cs="宋体" w:hint="eastAsia"/>
          <w:bCs/>
          <w:kern w:val="0"/>
          <w:szCs w:val="21"/>
          <w:shd w:val="clear" w:color="auto" w:fill="FFFFFF" w:themeFill="background1"/>
        </w:rPr>
        <w:t>注：1.20英尺重箱和40英尺重箱以外的其它非标准集装箱按相近箱型的费率计费。</w:t>
      </w:r>
    </w:p>
    <w:p w:rsidR="000B72F5" w:rsidRPr="000B72F5" w:rsidRDefault="000B72F5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  <w:r w:rsidRPr="000B72F5">
        <w:rPr>
          <w:rFonts w:ascii="Calibri" w:eastAsia="仿宋" w:hAnsi="Calibri" w:cs="Calibri"/>
          <w:bCs/>
          <w:kern w:val="0"/>
          <w:szCs w:val="21"/>
          <w:shd w:val="clear" w:color="auto" w:fill="FFFFFF" w:themeFill="background1"/>
        </w:rPr>
        <w:t>     </w:t>
      </w:r>
      <w:r w:rsidR="009B63BA">
        <w:rPr>
          <w:rFonts w:ascii="Calibri" w:eastAsia="仿宋" w:hAnsi="Calibri" w:cs="Calibri"/>
          <w:bCs/>
          <w:kern w:val="0"/>
          <w:szCs w:val="21"/>
          <w:shd w:val="clear" w:color="auto" w:fill="FFFFFF" w:themeFill="background1"/>
        </w:rPr>
        <w:t xml:space="preserve">  </w:t>
      </w:r>
      <w:r w:rsidRPr="000B72F5">
        <w:rPr>
          <w:rFonts w:ascii="仿宋" w:eastAsia="仿宋" w:hAnsi="仿宋" w:cs="宋体" w:hint="eastAsia"/>
          <w:bCs/>
          <w:kern w:val="0"/>
          <w:szCs w:val="21"/>
          <w:shd w:val="clear" w:color="auto" w:fill="FFFFFF" w:themeFill="background1"/>
        </w:rPr>
        <w:t xml:space="preserve"> 2.集装箱拼箱货物按货物的实际重量吨或体积吨分摊港口设施保安费。</w:t>
      </w:r>
    </w:p>
    <w:p w:rsidR="009B63BA" w:rsidRDefault="009B63BA" w:rsidP="009B63BA">
      <w:pPr>
        <w:widowControl/>
        <w:jc w:val="left"/>
        <w:rPr>
          <w:rFonts w:ascii="Calibri" w:eastAsia="仿宋" w:hAnsi="Calibri" w:cs="Calibri"/>
          <w:bCs/>
          <w:kern w:val="0"/>
          <w:szCs w:val="21"/>
          <w:shd w:val="clear" w:color="auto" w:fill="FFFFFF" w:themeFill="background1"/>
        </w:rPr>
      </w:pPr>
    </w:p>
    <w:p w:rsidR="009B63BA" w:rsidRDefault="009B63BA" w:rsidP="009B63BA">
      <w:pPr>
        <w:widowControl/>
        <w:jc w:val="left"/>
        <w:rPr>
          <w:rFonts w:ascii="Calibri" w:eastAsia="仿宋" w:hAnsi="Calibri" w:cs="Calibri"/>
          <w:bCs/>
          <w:kern w:val="0"/>
          <w:szCs w:val="21"/>
          <w:shd w:val="clear" w:color="auto" w:fill="FFFFFF" w:themeFill="background1"/>
        </w:rPr>
      </w:pPr>
    </w:p>
    <w:p w:rsidR="009B63BA" w:rsidRDefault="009B63BA" w:rsidP="009B63BA">
      <w:pPr>
        <w:widowControl/>
        <w:jc w:val="left"/>
        <w:rPr>
          <w:rFonts w:ascii="Calibri" w:eastAsia="仿宋" w:hAnsi="Calibri" w:cs="Calibri"/>
          <w:bCs/>
          <w:kern w:val="0"/>
          <w:szCs w:val="21"/>
          <w:shd w:val="clear" w:color="auto" w:fill="FFFFFF" w:themeFill="background1"/>
        </w:rPr>
      </w:pPr>
    </w:p>
    <w:p w:rsidR="009B63BA" w:rsidRPr="009B63BA" w:rsidRDefault="009B63BA" w:rsidP="009B63BA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</w:pPr>
      <w:r w:rsidRPr="009B63BA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表3</w:t>
      </w:r>
    </w:p>
    <w:p w:rsidR="009B63BA" w:rsidRPr="000B72F5" w:rsidRDefault="009B63BA" w:rsidP="009B63BA">
      <w:pPr>
        <w:widowControl/>
        <w:spacing w:afterLines="100" w:after="312"/>
        <w:jc w:val="center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 w:themeFill="background1"/>
        </w:rPr>
      </w:pPr>
      <w:r w:rsidRPr="009B63BA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 w:themeFill="background1"/>
        </w:rPr>
        <w:t>航行国际航线船舶港口收费基准费率表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624"/>
        <w:gridCol w:w="1627"/>
        <w:gridCol w:w="566"/>
        <w:gridCol w:w="853"/>
        <w:gridCol w:w="2933"/>
      </w:tblGrid>
      <w:tr w:rsidR="000B72F5" w:rsidRPr="000B72F5" w:rsidTr="009B63BA">
        <w:trPr>
          <w:trHeight w:val="716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编号</w:t>
            </w:r>
          </w:p>
        </w:tc>
        <w:tc>
          <w:tcPr>
            <w:tcW w:w="16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项目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计费单位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费率（元）</w:t>
            </w:r>
          </w:p>
        </w:tc>
        <w:tc>
          <w:tcPr>
            <w:tcW w:w="2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9B63BA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  <w:shd w:val="clear" w:color="auto" w:fill="FFFFFF" w:themeFill="background1"/>
              </w:rPr>
              <w:t>说明</w:t>
            </w:r>
          </w:p>
        </w:tc>
      </w:tr>
      <w:tr w:rsidR="000B72F5" w:rsidRPr="000B72F5" w:rsidTr="009B63BA">
        <w:trPr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引航（移泊）费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计费吨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0.45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40000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净吨及以下部分</w:t>
            </w: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0.40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40001-80000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净吨部分</w:t>
            </w: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0.375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80000-120000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净吨部分</w:t>
            </w: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计费吨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·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海里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0.004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海里以上超程部分</w:t>
            </w: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0.14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过闸引领</w:t>
            </w: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0.20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港内移泊</w:t>
            </w:r>
          </w:p>
        </w:tc>
      </w:tr>
      <w:tr w:rsidR="000B72F5" w:rsidRPr="000B72F5" w:rsidTr="009B63BA">
        <w:trPr>
          <w:trHeight w:val="255"/>
          <w:jc w:val="center"/>
        </w:trPr>
        <w:tc>
          <w:tcPr>
            <w:tcW w:w="6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停泊费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计费吨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·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日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0.25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计费吨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·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小时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0.15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计费吨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·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日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0.05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锚地停泊</w:t>
            </w:r>
          </w:p>
        </w:tc>
      </w:tr>
      <w:tr w:rsidR="000B72F5" w:rsidRPr="000B72F5" w:rsidTr="009B63BA">
        <w:trPr>
          <w:jc w:val="center"/>
        </w:trPr>
        <w:tc>
          <w:tcPr>
            <w:tcW w:w="687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围油栏使用费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船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·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3000.00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1000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净吨以下船舶</w:t>
            </w: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3500.00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1000-3000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净吨船舶</w:t>
            </w:r>
          </w:p>
        </w:tc>
      </w:tr>
      <w:tr w:rsidR="000B72F5" w:rsidRPr="000B72F5" w:rsidTr="009B63B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4000.00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3000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净吨以上船舶</w:t>
            </w:r>
          </w:p>
        </w:tc>
      </w:tr>
    </w:tbl>
    <w:p w:rsidR="009B63BA" w:rsidRPr="009B63BA" w:rsidRDefault="009B63BA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</w:p>
    <w:p w:rsidR="009B63BA" w:rsidRDefault="009B63BA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</w:p>
    <w:p w:rsidR="009B63BA" w:rsidRDefault="009B63BA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</w:p>
    <w:p w:rsidR="009B63BA" w:rsidRDefault="009B63BA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</w:p>
    <w:p w:rsidR="00880436" w:rsidRDefault="00880436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</w:p>
    <w:p w:rsidR="009B63BA" w:rsidRDefault="009B63BA" w:rsidP="009B63BA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Cs w:val="21"/>
          <w:shd w:val="clear" w:color="auto" w:fill="FFFFFF" w:themeFill="background1"/>
        </w:rPr>
      </w:pPr>
    </w:p>
    <w:p w:rsidR="009B63BA" w:rsidRPr="009B63BA" w:rsidRDefault="009B63BA" w:rsidP="009B63BA">
      <w:pPr>
        <w:widowControl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 w:themeFill="background1"/>
        </w:rPr>
      </w:pPr>
      <w:r w:rsidRPr="009B63BA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 w:themeFill="background1"/>
        </w:rPr>
        <w:t>表4</w:t>
      </w:r>
    </w:p>
    <w:p w:rsidR="009B63BA" w:rsidRDefault="009B63BA" w:rsidP="009B63BA">
      <w:pPr>
        <w:widowControl/>
        <w:jc w:val="center"/>
        <w:rPr>
          <w:rFonts w:ascii="微软雅黑" w:eastAsia="微软雅黑" w:hAnsi="微软雅黑" w:cs="宋体"/>
          <w:b/>
          <w:bCs/>
          <w:color w:val="000000"/>
          <w:spacing w:val="15"/>
          <w:kern w:val="0"/>
          <w:sz w:val="24"/>
          <w:szCs w:val="24"/>
          <w:shd w:val="clear" w:color="auto" w:fill="FFFFFF" w:themeFill="background1"/>
        </w:rPr>
      </w:pPr>
      <w:r w:rsidRPr="000B72F5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 w:themeFill="background1"/>
        </w:rPr>
        <w:t>航行国际航线船舶拖轮费基准费率表</w:t>
      </w:r>
    </w:p>
    <w:p w:rsidR="000B72F5" w:rsidRPr="000B72F5" w:rsidRDefault="009B63BA" w:rsidP="009B63BA">
      <w:pPr>
        <w:widowControl/>
        <w:jc w:val="right"/>
        <w:rPr>
          <w:rFonts w:ascii="微软雅黑" w:eastAsia="微软雅黑" w:hAnsi="微软雅黑" w:cs="宋体"/>
          <w:color w:val="000000"/>
          <w:spacing w:val="15"/>
          <w:kern w:val="0"/>
          <w:szCs w:val="21"/>
          <w:shd w:val="clear" w:color="auto" w:fill="FFFFFF" w:themeFill="background1"/>
        </w:rPr>
      </w:pPr>
      <w:r w:rsidRPr="000B72F5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 w:themeFill="background1"/>
        </w:rPr>
        <w:t> </w:t>
      </w:r>
      <w:r w:rsidRPr="009B63BA">
        <w:rPr>
          <w:rFonts w:ascii="宋体" w:eastAsia="宋体" w:hAnsi="宋体" w:cs="宋体" w:hint="eastAsia"/>
          <w:bCs/>
          <w:color w:val="000000"/>
          <w:spacing w:val="15"/>
          <w:kern w:val="0"/>
          <w:szCs w:val="21"/>
          <w:shd w:val="clear" w:color="auto" w:fill="FFFFFF" w:themeFill="background1"/>
        </w:rPr>
        <w:t>计费单位：元</w:t>
      </w:r>
      <w:r w:rsidRPr="009B63BA">
        <w:rPr>
          <w:rFonts w:ascii="微软雅黑" w:eastAsia="微软雅黑" w:hAnsi="微软雅黑" w:cs="宋体" w:hint="eastAsia"/>
          <w:bCs/>
          <w:color w:val="000000"/>
          <w:spacing w:val="15"/>
          <w:kern w:val="0"/>
          <w:szCs w:val="21"/>
          <w:shd w:val="clear" w:color="auto" w:fill="FFFFFF" w:themeFill="background1"/>
        </w:rPr>
        <w:t>/</w:t>
      </w:r>
      <w:r w:rsidRPr="009B63BA">
        <w:rPr>
          <w:rFonts w:ascii="宋体" w:eastAsia="宋体" w:hAnsi="宋体" w:cs="宋体" w:hint="eastAsia"/>
          <w:bCs/>
          <w:color w:val="000000"/>
          <w:spacing w:val="15"/>
          <w:kern w:val="0"/>
          <w:szCs w:val="21"/>
          <w:shd w:val="clear" w:color="auto" w:fill="FFFFFF" w:themeFill="background1"/>
        </w:rPr>
        <w:t>拖轮艘次</w:t>
      </w:r>
    </w:p>
    <w:tbl>
      <w:tblPr>
        <w:tblW w:w="8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834"/>
        <w:gridCol w:w="1916"/>
        <w:gridCol w:w="2299"/>
        <w:gridCol w:w="1680"/>
      </w:tblGrid>
      <w:tr w:rsidR="000B72F5" w:rsidRPr="000B72F5" w:rsidTr="009B63BA">
        <w:trPr>
          <w:trHeight w:val="696"/>
          <w:jc w:val="center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序号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船长（米）</w:t>
            </w:r>
          </w:p>
        </w:tc>
        <w:tc>
          <w:tcPr>
            <w:tcW w:w="58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船舶类型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B72F5" w:rsidRPr="000B72F5" w:rsidRDefault="000B72F5" w:rsidP="000B72F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集装箱船、</w:t>
            </w:r>
          </w:p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滚装船、客船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油船、化学品船、</w:t>
            </w:r>
          </w:p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液化气体船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散货船、杂货船及其他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及以下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6000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5700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5300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80—120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6500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7800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7400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120—150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7000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8000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150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9000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180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8500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12000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11000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220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9000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14000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13000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260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9500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16000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14000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275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10000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17000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15000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300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10500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18000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16000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325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11000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18600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16500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350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11500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19600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17800</w:t>
            </w:r>
          </w:p>
        </w:tc>
      </w:tr>
      <w:tr w:rsidR="000B72F5" w:rsidRPr="000B72F5" w:rsidTr="009B63BA">
        <w:trPr>
          <w:trHeight w:val="696"/>
          <w:jc w:val="center"/>
        </w:trPr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390</w:t>
            </w:r>
            <w:r w:rsidRPr="000B72F5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 w:themeFill="background1"/>
              </w:rPr>
              <w:t>—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12000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20300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B72F5" w:rsidRPr="000B72F5" w:rsidRDefault="000B72F5" w:rsidP="000B72F5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Cs w:val="21"/>
                <w:shd w:val="clear" w:color="auto" w:fill="FFFFFF" w:themeFill="background1"/>
              </w:rPr>
            </w:pPr>
            <w:r w:rsidRPr="000B72F5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19600</w:t>
            </w:r>
          </w:p>
        </w:tc>
      </w:tr>
    </w:tbl>
    <w:p w:rsidR="000A09E9" w:rsidRPr="000B72F5" w:rsidRDefault="000A09E9" w:rsidP="009B63BA">
      <w:pPr>
        <w:widowControl/>
        <w:shd w:val="clear" w:color="auto" w:fill="FFFFFF"/>
        <w:spacing w:after="150" w:line="315" w:lineRule="atLeast"/>
        <w:rPr>
          <w:rFonts w:ascii="微软雅黑" w:eastAsia="微软雅黑" w:hAnsi="微软雅黑" w:cs="宋体"/>
          <w:color w:val="000000"/>
          <w:spacing w:val="15"/>
          <w:kern w:val="0"/>
          <w:szCs w:val="21"/>
          <w:shd w:val="clear" w:color="auto" w:fill="FFFFFF" w:themeFill="background1"/>
        </w:rPr>
      </w:pPr>
    </w:p>
    <w:sectPr w:rsidR="000A09E9" w:rsidRPr="000B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5E" w:rsidRDefault="00C1775E" w:rsidP="003F48A2">
      <w:r>
        <w:separator/>
      </w:r>
    </w:p>
  </w:endnote>
  <w:endnote w:type="continuationSeparator" w:id="0">
    <w:p w:rsidR="00C1775E" w:rsidRDefault="00C1775E" w:rsidP="003F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5E" w:rsidRDefault="00C1775E" w:rsidP="003F48A2">
      <w:r>
        <w:separator/>
      </w:r>
    </w:p>
  </w:footnote>
  <w:footnote w:type="continuationSeparator" w:id="0">
    <w:p w:rsidR="00C1775E" w:rsidRDefault="00C1775E" w:rsidP="003F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F5"/>
    <w:rsid w:val="000A09E9"/>
    <w:rsid w:val="000B10C7"/>
    <w:rsid w:val="000B72F5"/>
    <w:rsid w:val="00333796"/>
    <w:rsid w:val="003F48A2"/>
    <w:rsid w:val="00880436"/>
    <w:rsid w:val="009B63BA"/>
    <w:rsid w:val="00C1775E"/>
    <w:rsid w:val="00F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53049F-71DB-4906-9387-621A4D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72F5"/>
    <w:rPr>
      <w:b/>
      <w:bCs/>
    </w:rPr>
  </w:style>
  <w:style w:type="paragraph" w:styleId="a5">
    <w:name w:val="header"/>
    <w:basedOn w:val="a"/>
    <w:link w:val="Char"/>
    <w:uiPriority w:val="99"/>
    <w:unhideWhenUsed/>
    <w:rsid w:val="003F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48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4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刘政</cp:lastModifiedBy>
  <cp:revision>1</cp:revision>
  <dcterms:created xsi:type="dcterms:W3CDTF">2020-03-25T08:02:00Z</dcterms:created>
  <dcterms:modified xsi:type="dcterms:W3CDTF">2020-03-25T08:02:00Z</dcterms:modified>
</cp:coreProperties>
</file>